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7FC248F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513BAC">
        <w:rPr>
          <w:rFonts w:ascii="Arial" w:hAnsi="Arial" w:cs="Arial"/>
          <w:b/>
          <w:bCs/>
          <w:sz w:val="22"/>
        </w:rPr>
        <w:t>78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-172</w:t>
      </w:r>
      <w:r w:rsidR="00513BAC">
        <w:rPr>
          <w:rFonts w:ascii="Arial" w:hAnsi="Arial" w:cs="Arial"/>
          <w:b/>
          <w:bCs/>
          <w:sz w:val="22"/>
        </w:rPr>
        <w:t>43</w:t>
      </w:r>
      <w:r w:rsidR="00B60F0F">
        <w:rPr>
          <w:rFonts w:ascii="Arial" w:hAnsi="Arial" w:cs="Arial"/>
          <w:b/>
          <w:bCs/>
          <w:sz w:val="22"/>
        </w:rPr>
        <w:t>8</w:t>
      </w:r>
    </w:p>
    <w:p w14:paraId="0351D878" w14:textId="6C1DE57F" w:rsidR="0066434B" w:rsidRPr="00D35A73" w:rsidRDefault="00513BAC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Lisbon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Portugal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1E08A2">
        <w:rPr>
          <w:rFonts w:ascii="Arial" w:hAnsi="Arial" w:cs="Arial"/>
          <w:b/>
          <w:bCs/>
          <w:sz w:val="22"/>
        </w:rPr>
        <w:t>December 1</w:t>
      </w:r>
      <w:r>
        <w:rPr>
          <w:rFonts w:ascii="Arial" w:hAnsi="Arial" w:cs="Arial"/>
          <w:b/>
          <w:bCs/>
          <w:sz w:val="22"/>
        </w:rPr>
        <w:t>8</w:t>
      </w:r>
      <w:r w:rsidRPr="00513BA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-21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7</w:t>
      </w:r>
      <w:r>
        <w:rPr>
          <w:rFonts w:ascii="Arial" w:eastAsia="MS Mincho" w:hAnsi="Arial" w:cs="Arial"/>
          <w:b/>
          <w:bCs/>
          <w:sz w:val="22"/>
        </w:rPr>
        <w:tab/>
      </w:r>
      <w:r w:rsidR="00D35A73">
        <w:rPr>
          <w:rFonts w:ascii="Arial" w:eastAsia="MS Mincho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9E75E9A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9.2.1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18B66BA2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B60F0F" w:rsidRPr="00B60F0F">
        <w:rPr>
          <w:rFonts w:ascii="Arial" w:hAnsi="Arial"/>
          <w:sz w:val="22"/>
        </w:rPr>
        <w:t>NR EN-DC Power sharing capability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E565DF">
      <w:pPr>
        <w:pStyle w:val="Heading1"/>
        <w:jc w:val="both"/>
        <w:rPr>
          <w:lang w:eastAsia="zh-CN"/>
        </w:rPr>
      </w:pPr>
      <w:r>
        <w:t>Introduction</w:t>
      </w:r>
    </w:p>
    <w:p w14:paraId="5553CB5D" w14:textId="066AB3B1" w:rsidR="003D23CF" w:rsidRDefault="00A4250A" w:rsidP="00A4250A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discusses the </w:t>
      </w:r>
      <w:r w:rsidR="00521C74">
        <w:rPr>
          <w:rFonts w:eastAsia="MS Mincho"/>
          <w:lang w:val="en-US"/>
        </w:rPr>
        <w:t xml:space="preserve">LTE-NR </w:t>
      </w:r>
      <w:r>
        <w:rPr>
          <w:rFonts w:eastAsia="MS Mincho"/>
          <w:lang w:val="en-US"/>
        </w:rPr>
        <w:t xml:space="preserve">power sharing capability of NSA UEs when configured with LTE-NE DC. </w:t>
      </w:r>
    </w:p>
    <w:p w14:paraId="5F4B5914" w14:textId="77777777" w:rsidR="00A4250A" w:rsidRPr="009838A2" w:rsidRDefault="00A4250A" w:rsidP="00A4250A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E565DF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1B0502E6" w14:textId="107AFE3C" w:rsidR="005669FB" w:rsidRDefault="005B0132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</w:t>
      </w:r>
      <w:r w:rsidR="00235541">
        <w:rPr>
          <w:rFonts w:eastAsia="MS Mincho"/>
          <w:lang w:val="en-US"/>
        </w:rPr>
        <w:t xml:space="preserve">RAN1#90, the following was agreed. </w:t>
      </w:r>
    </w:p>
    <w:p w14:paraId="5E6B5D8F" w14:textId="77777777" w:rsidR="00235541" w:rsidRDefault="00235541" w:rsidP="00E565DF">
      <w:pPr>
        <w:spacing w:after="0"/>
        <w:jc w:val="both"/>
        <w:rPr>
          <w:rFonts w:eastAsia="MS Mincho"/>
          <w:lang w:val="en-US"/>
        </w:rPr>
      </w:pPr>
    </w:p>
    <w:p w14:paraId="6E6366F2" w14:textId="77777777" w:rsidR="00235541" w:rsidRPr="00AB4A6D" w:rsidRDefault="00235541" w:rsidP="00E565DF">
      <w:pPr>
        <w:jc w:val="both"/>
        <w:rPr>
          <w:rFonts w:eastAsia="MS Mincho"/>
          <w:lang w:val="en-US"/>
        </w:rPr>
      </w:pPr>
      <w:r w:rsidRPr="004C49B2">
        <w:rPr>
          <w:rFonts w:eastAsia="MS Mincho"/>
          <w:highlight w:val="green"/>
          <w:lang w:val="en-US"/>
        </w:rPr>
        <w:t>Agreements:</w:t>
      </w:r>
    </w:p>
    <w:p w14:paraId="767141DB" w14:textId="77777777" w:rsidR="00235541" w:rsidRPr="00AB4A6D" w:rsidRDefault="00235541" w:rsidP="00E565DF">
      <w:pPr>
        <w:numPr>
          <w:ilvl w:val="0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At least for LTE-NR NSA operation</w:t>
      </w:r>
    </w:p>
    <w:p w14:paraId="71F856C8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Maximum allowed power values for LTE (P_LTE) and NR (P_NR) are set separately</w:t>
      </w:r>
    </w:p>
    <w:p w14:paraId="5F2629F8" w14:textId="77777777" w:rsidR="00235541" w:rsidRPr="00AB4A6D" w:rsidRDefault="00235541" w:rsidP="00E565DF">
      <w:pPr>
        <w:numPr>
          <w:ilvl w:val="2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 xml:space="preserve">i.e., when UE is configured for NR, P_LTE can be configured up to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 </w:t>
      </w:r>
      <w:proofErr w:type="gramStart"/>
      <w:r w:rsidRPr="00AB4A6D">
        <w:rPr>
          <w:rFonts w:eastAsia="MS Mincho"/>
          <w:lang w:val="en-US"/>
        </w:rPr>
        <w:t>and  P</w:t>
      </w:r>
      <w:proofErr w:type="gramEnd"/>
      <w:r w:rsidRPr="00AB4A6D">
        <w:rPr>
          <w:rFonts w:eastAsia="MS Mincho"/>
          <w:lang w:val="en-US"/>
        </w:rPr>
        <w:t xml:space="preserve">_NR can be configured up to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. </w:t>
      </w:r>
    </w:p>
    <w:p w14:paraId="5624FDE9" w14:textId="77777777" w:rsidR="00235541" w:rsidRPr="00AB4A6D" w:rsidRDefault="00235541" w:rsidP="00E565DF">
      <w:pPr>
        <w:numPr>
          <w:ilvl w:val="2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 xml:space="preserve">e.g. P_LTE + P_NR &gt;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 or P_LTE + P_NR =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</w:p>
    <w:p w14:paraId="642DC648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Signaling details for P_LTE, P_NR are left to RAN2, RAN4.</w:t>
      </w:r>
    </w:p>
    <w:p w14:paraId="4B1CB4E9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Note: ‘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’ is a limit that is </w:t>
      </w:r>
      <w:proofErr w:type="gramStart"/>
      <w:r w:rsidRPr="00AB4A6D">
        <w:rPr>
          <w:rFonts w:eastAsia="MS Mincho"/>
          <w:lang w:val="en-US"/>
        </w:rPr>
        <w:t>similar to</w:t>
      </w:r>
      <w:proofErr w:type="gramEnd"/>
      <w:r w:rsidRPr="00AB4A6D">
        <w:rPr>
          <w:rFonts w:eastAsia="MS Mincho"/>
          <w:lang w:val="en-US"/>
        </w:rPr>
        <w:t xml:space="preserve"> ‘The configured maximum UE output power’ that was specified for LTE.</w:t>
      </w:r>
    </w:p>
    <w:p w14:paraId="2755390B" w14:textId="77777777" w:rsidR="00235541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Note: The network will still have flexibility to prioritize or reserve certain NR transmission power depending on network implementation</w:t>
      </w:r>
    </w:p>
    <w:p w14:paraId="0B7A3224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All UEs are mandated to handle </w:t>
      </w:r>
      <w:r w:rsidRPr="00AB4A6D">
        <w:rPr>
          <w:rFonts w:eastAsia="MS Mincho"/>
          <w:lang w:val="en-US"/>
        </w:rPr>
        <w:t xml:space="preserve">P_LTE + P_NR =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>
        <w:rPr>
          <w:rFonts w:eastAsia="MS Mincho"/>
          <w:lang w:val="en-US"/>
        </w:rPr>
        <w:t xml:space="preserve"> while </w:t>
      </w:r>
      <w:r w:rsidRPr="00323B98">
        <w:rPr>
          <w:rFonts w:eastAsia="MS Mincho"/>
          <w:highlight w:val="yellow"/>
          <w:lang w:val="en-US"/>
        </w:rPr>
        <w:t xml:space="preserve">handling of P_LTE + P_NR &gt; </w:t>
      </w:r>
      <w:proofErr w:type="spellStart"/>
      <w:r w:rsidRPr="00323B98">
        <w:rPr>
          <w:rFonts w:eastAsia="MS Mincho"/>
          <w:highlight w:val="yellow"/>
          <w:lang w:val="en-US"/>
        </w:rPr>
        <w:t>P_cmax</w:t>
      </w:r>
      <w:proofErr w:type="spellEnd"/>
      <w:r w:rsidRPr="00323B98">
        <w:rPr>
          <w:rFonts w:eastAsia="MS Mincho"/>
          <w:highlight w:val="yellow"/>
          <w:lang w:val="en-US"/>
        </w:rPr>
        <w:t xml:space="preserve"> depends on UE capability</w:t>
      </w:r>
    </w:p>
    <w:p w14:paraId="69E24C11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 xml:space="preserve">At least, when DL/UL LTE </w:t>
      </w:r>
      <w:proofErr w:type="spellStart"/>
      <w:r w:rsidRPr="00AB4A6D">
        <w:rPr>
          <w:rFonts w:eastAsia="MS Mincho"/>
          <w:lang w:val="en-US"/>
        </w:rPr>
        <w:t>sTTI</w:t>
      </w:r>
      <w:proofErr w:type="spellEnd"/>
      <w:r w:rsidRPr="00AB4A6D">
        <w:rPr>
          <w:rFonts w:eastAsia="MS Mincho"/>
          <w:lang w:val="en-US"/>
        </w:rPr>
        <w:t xml:space="preserve">/reduced UE processing time based operation is not configured for the UE, if total transmit power exceeds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 when there is simultaneous NR and LTE UL </w:t>
      </w:r>
      <w:proofErr w:type="spellStart"/>
      <w:r w:rsidRPr="00AB4A6D">
        <w:rPr>
          <w:rFonts w:eastAsia="MS Mincho"/>
          <w:lang w:val="en-US"/>
        </w:rPr>
        <w:t>tx</w:t>
      </w:r>
      <w:proofErr w:type="spellEnd"/>
      <w:r w:rsidRPr="00AB4A6D">
        <w:rPr>
          <w:rFonts w:eastAsia="MS Mincho"/>
          <w:lang w:val="en-US"/>
        </w:rPr>
        <w:t xml:space="preserve">, </w:t>
      </w:r>
    </w:p>
    <w:p w14:paraId="298D22D6" w14:textId="77777777" w:rsidR="00235541" w:rsidRPr="004C49B2" w:rsidRDefault="00235541" w:rsidP="00E565DF">
      <w:pPr>
        <w:numPr>
          <w:ilvl w:val="2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4C49B2">
        <w:rPr>
          <w:rFonts w:eastAsia="MS Mincho"/>
          <w:lang w:val="en-US"/>
        </w:rPr>
        <w:t>For NR, UE scales down/drops NR transmission and NR power scaling details</w:t>
      </w:r>
      <w:r>
        <w:rPr>
          <w:rFonts w:eastAsia="MS Mincho"/>
          <w:lang w:val="en-US"/>
        </w:rPr>
        <w:t xml:space="preserve"> are left to UE implementation (note: it is not intended to have RAN4 test from RAN1 perspective)</w:t>
      </w:r>
    </w:p>
    <w:p w14:paraId="267E2C7B" w14:textId="77777777" w:rsidR="00235541" w:rsidRPr="004C49B2" w:rsidRDefault="00235541" w:rsidP="00E565DF">
      <w:pPr>
        <w:numPr>
          <w:ilvl w:val="3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4C49B2">
        <w:rPr>
          <w:rFonts w:eastAsia="MS Mincho"/>
          <w:lang w:val="en-US"/>
        </w:rPr>
        <w:t xml:space="preserve">If there are two or more UL carriers, the power scaling or </w:t>
      </w:r>
      <w:proofErr w:type="spellStart"/>
      <w:r w:rsidRPr="004C49B2">
        <w:rPr>
          <w:rFonts w:eastAsia="MS Mincho"/>
          <w:lang w:val="en-US"/>
        </w:rPr>
        <w:t>tx</w:t>
      </w:r>
      <w:proofErr w:type="spellEnd"/>
      <w:r w:rsidRPr="004C49B2">
        <w:rPr>
          <w:rFonts w:eastAsia="MS Mincho"/>
          <w:lang w:val="en-US"/>
        </w:rPr>
        <w:t xml:space="preserve"> dropping can be performed for each of the UL carriers separately or jointly up to UE implementation</w:t>
      </w:r>
    </w:p>
    <w:p w14:paraId="517D4220" w14:textId="77777777" w:rsidR="00235541" w:rsidRPr="004C49B2" w:rsidRDefault="00235541" w:rsidP="00E565DF">
      <w:pPr>
        <w:numPr>
          <w:ilvl w:val="2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4C49B2">
        <w:rPr>
          <w:rFonts w:eastAsia="MS Mincho"/>
          <w:lang w:val="en-US"/>
        </w:rPr>
        <w:t>For LTE, no change in power control procedure</w:t>
      </w:r>
    </w:p>
    <w:p w14:paraId="4D5E9E7D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 xml:space="preserve">FFS the case when DL/UL LTE </w:t>
      </w:r>
      <w:proofErr w:type="spellStart"/>
      <w:r w:rsidRPr="00AB4A6D">
        <w:rPr>
          <w:rFonts w:eastAsia="MS Mincho"/>
          <w:lang w:val="en-US"/>
        </w:rPr>
        <w:t>sTTI</w:t>
      </w:r>
      <w:proofErr w:type="spellEnd"/>
      <w:r w:rsidRPr="00AB4A6D">
        <w:rPr>
          <w:rFonts w:eastAsia="MS Mincho"/>
          <w:lang w:val="en-US"/>
        </w:rPr>
        <w:t>/reduced UE processing time based operation is configured for the UE</w:t>
      </w:r>
    </w:p>
    <w:p w14:paraId="41F30B95" w14:textId="77777777" w:rsidR="00235541" w:rsidRPr="00AB4A6D" w:rsidRDefault="00235541" w:rsidP="00E565DF">
      <w:pPr>
        <w:numPr>
          <w:ilvl w:val="1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>The following is FFS</w:t>
      </w:r>
    </w:p>
    <w:p w14:paraId="24103BBB" w14:textId="77777777" w:rsidR="00235541" w:rsidRPr="00AB4A6D" w:rsidRDefault="00235541" w:rsidP="00E565DF">
      <w:pPr>
        <w:numPr>
          <w:ilvl w:val="2"/>
          <w:numId w:val="36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val="en-US"/>
        </w:rPr>
      </w:pPr>
      <w:r w:rsidRPr="00AB4A6D">
        <w:rPr>
          <w:rFonts w:eastAsia="MS Mincho"/>
          <w:lang w:val="en-US"/>
        </w:rPr>
        <w:t xml:space="preserve">The case when P_NR is configured such that P_NR &lt;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, and UE can use power up to </w:t>
      </w:r>
      <w:proofErr w:type="spellStart"/>
      <w:r w:rsidRPr="00AB4A6D">
        <w:rPr>
          <w:rFonts w:eastAsia="MS Mincho"/>
          <w:lang w:val="en-US"/>
        </w:rPr>
        <w:t>P_cmax</w:t>
      </w:r>
      <w:proofErr w:type="spellEnd"/>
      <w:r w:rsidRPr="00AB4A6D">
        <w:rPr>
          <w:rFonts w:eastAsia="MS Mincho"/>
          <w:lang w:val="en-US"/>
        </w:rPr>
        <w:t xml:space="preserve"> in NR when it knows that there will be no UL transmission in LTE by semi-static configuration (e.g., measurement gap, DL/UL configuration)</w:t>
      </w:r>
    </w:p>
    <w:p w14:paraId="7A0F24A0" w14:textId="1730148A" w:rsidR="00235541" w:rsidRDefault="00235541" w:rsidP="00E565DF">
      <w:pPr>
        <w:spacing w:after="0"/>
        <w:jc w:val="both"/>
        <w:rPr>
          <w:rFonts w:eastAsia="MS Mincho"/>
          <w:lang w:val="en-US"/>
        </w:rPr>
      </w:pPr>
    </w:p>
    <w:p w14:paraId="2A90ACA7" w14:textId="127CE68A" w:rsidR="00235541" w:rsidRDefault="00235541" w:rsidP="00E565DF">
      <w:pPr>
        <w:spacing w:after="0"/>
        <w:jc w:val="both"/>
        <w:rPr>
          <w:rFonts w:eastAsia="MS Mincho"/>
          <w:lang w:val="en-US"/>
        </w:rPr>
      </w:pPr>
    </w:p>
    <w:p w14:paraId="5CA4FA66" w14:textId="3A39BFF1" w:rsidR="00235541" w:rsidRDefault="00235541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LS to RAN4 capturing the agreement was unclear and misunderstood. </w:t>
      </w:r>
    </w:p>
    <w:p w14:paraId="574854F5" w14:textId="37EC7DC8" w:rsidR="00235541" w:rsidRDefault="00235541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Instead of understanding P_LTE and P_NR as they were intended to be</w:t>
      </w:r>
      <w:r w:rsidR="004D2924">
        <w:rPr>
          <w:rFonts w:eastAsia="MS Mincho"/>
          <w:lang w:val="en-US"/>
        </w:rPr>
        <w:t xml:space="preserve"> as</w:t>
      </w:r>
      <w:r>
        <w:rPr>
          <w:rFonts w:eastAsia="MS Mincho"/>
          <w:lang w:val="en-US"/>
        </w:rPr>
        <w:t xml:space="preserve"> semi-static configured parameters, RAN4 assumed that P_LTE and P_NR are actual transmit powers. </w:t>
      </w:r>
    </w:p>
    <w:p w14:paraId="097C338C" w14:textId="471CB494" w:rsidR="00235541" w:rsidRDefault="00235541" w:rsidP="00E565DF">
      <w:pPr>
        <w:spacing w:after="0"/>
        <w:jc w:val="both"/>
        <w:rPr>
          <w:rFonts w:eastAsia="MS Mincho"/>
          <w:lang w:val="en-US"/>
        </w:rPr>
      </w:pPr>
    </w:p>
    <w:p w14:paraId="33486037" w14:textId="3C064A58" w:rsidR="00235541" w:rsidRDefault="00235541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Since the issue was clarified, there should be no assumption that any UE will exceed </w:t>
      </w:r>
      <w:proofErr w:type="spellStart"/>
      <w:r>
        <w:rPr>
          <w:rFonts w:eastAsia="MS Mincho"/>
          <w:lang w:val="en-US"/>
        </w:rPr>
        <w:t>P_powerclass</w:t>
      </w:r>
      <w:proofErr w:type="spellEnd"/>
      <w:r>
        <w:rPr>
          <w:rFonts w:eastAsia="MS Mincho"/>
          <w:lang w:val="en-US"/>
        </w:rPr>
        <w:t xml:space="preserve"> under any condition, irrespective of their capability. </w:t>
      </w:r>
    </w:p>
    <w:p w14:paraId="585ED84A" w14:textId="6F78ED4D" w:rsidR="00521C74" w:rsidRDefault="00521C74" w:rsidP="00E565DF">
      <w:pPr>
        <w:spacing w:after="0"/>
        <w:jc w:val="both"/>
        <w:rPr>
          <w:rFonts w:eastAsia="MS Mincho"/>
          <w:lang w:val="en-US"/>
        </w:rPr>
      </w:pPr>
    </w:p>
    <w:p w14:paraId="0D3487FB" w14:textId="77777777" w:rsidR="00521C74" w:rsidRDefault="00521C74" w:rsidP="00E565DF">
      <w:pPr>
        <w:spacing w:after="0"/>
        <w:jc w:val="both"/>
        <w:rPr>
          <w:rFonts w:eastAsia="MS Mincho"/>
          <w:lang w:val="en-US"/>
        </w:rPr>
      </w:pPr>
    </w:p>
    <w:p w14:paraId="46FE465E" w14:textId="6227D5EB" w:rsidR="003D23CF" w:rsidRDefault="003D23CF" w:rsidP="00E565DF">
      <w:pPr>
        <w:spacing w:after="0"/>
        <w:jc w:val="both"/>
        <w:rPr>
          <w:rFonts w:eastAsia="MS Mincho"/>
          <w:lang w:val="en-US"/>
        </w:rPr>
      </w:pPr>
    </w:p>
    <w:p w14:paraId="7E616494" w14:textId="74B3F08A" w:rsidR="0091149C" w:rsidRDefault="00235541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The RAN1 agreement </w:t>
      </w:r>
      <w:r w:rsidR="0091149C">
        <w:rPr>
          <w:rFonts w:eastAsia="MS Mincho"/>
          <w:lang w:val="en-US"/>
        </w:rPr>
        <w:t xml:space="preserve">assumes that there are two types of NSA UEs supported by the specification: </w:t>
      </w:r>
    </w:p>
    <w:p w14:paraId="2D467330" w14:textId="6344F278" w:rsidR="00235541" w:rsidRDefault="0091149C" w:rsidP="00E565DF">
      <w:pPr>
        <w:pStyle w:val="ListParagraph"/>
        <w:numPr>
          <w:ilvl w:val="0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UE Type 1 capable of dynamic </w:t>
      </w:r>
      <w:r w:rsidR="00EB6859">
        <w:rPr>
          <w:lang w:val="en-US"/>
        </w:rPr>
        <w:t xml:space="preserve">LTE-NR </w:t>
      </w:r>
      <w:r>
        <w:rPr>
          <w:lang w:val="en-US"/>
        </w:rPr>
        <w:t>power sharing</w:t>
      </w:r>
    </w:p>
    <w:p w14:paraId="1549B786" w14:textId="7F2D6E42" w:rsidR="0091149C" w:rsidRDefault="0091149C" w:rsidP="00E565DF">
      <w:pPr>
        <w:pStyle w:val="ListParagraph"/>
        <w:numPr>
          <w:ilvl w:val="1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>Converged NR and LTE modem with high speed interface capability</w:t>
      </w:r>
    </w:p>
    <w:p w14:paraId="0CEBDEFA" w14:textId="20E97C10" w:rsidR="0091149C" w:rsidRDefault="0091149C" w:rsidP="00E565DF">
      <w:pPr>
        <w:pStyle w:val="ListParagraph"/>
        <w:numPr>
          <w:ilvl w:val="1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These UEs can operate with </w:t>
      </w:r>
      <w:r w:rsidRPr="00AB4A6D">
        <w:rPr>
          <w:lang w:val="en-US" w:eastAsia="ja-JP"/>
        </w:rPr>
        <w:t xml:space="preserve">P_LTE + P_NR </w:t>
      </w:r>
      <w:r>
        <w:rPr>
          <w:lang w:val="en-US" w:eastAsia="ja-JP"/>
        </w:rPr>
        <w:t xml:space="preserve">&gt; </w:t>
      </w:r>
      <w:proofErr w:type="spellStart"/>
      <w:r>
        <w:rPr>
          <w:lang w:val="en-US" w:eastAsia="ja-JP"/>
        </w:rPr>
        <w:t>P_powerclass</w:t>
      </w:r>
      <w:proofErr w:type="spellEnd"/>
      <w:r>
        <w:rPr>
          <w:lang w:val="en-US" w:eastAsia="ja-JP"/>
        </w:rPr>
        <w:t xml:space="preserve"> configuration or with no P_LTE or P_NR configuration</w:t>
      </w:r>
    </w:p>
    <w:p w14:paraId="33B13A97" w14:textId="2FE6CED6" w:rsidR="0091149C" w:rsidRPr="0091149C" w:rsidRDefault="0091149C" w:rsidP="00E565DF">
      <w:pPr>
        <w:pStyle w:val="ListParagraph"/>
        <w:numPr>
          <w:ilvl w:val="0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UE Type 2 not capable of dynamic </w:t>
      </w:r>
      <w:r w:rsidR="00006ADF">
        <w:rPr>
          <w:lang w:val="en-US"/>
        </w:rPr>
        <w:t xml:space="preserve">LTE-NR </w:t>
      </w:r>
      <w:r>
        <w:rPr>
          <w:lang w:val="en-US"/>
        </w:rPr>
        <w:t>power sharing</w:t>
      </w:r>
    </w:p>
    <w:p w14:paraId="4108B9AC" w14:textId="381D4468" w:rsidR="0091149C" w:rsidRDefault="0091149C" w:rsidP="00E565DF">
      <w:pPr>
        <w:pStyle w:val="ListParagraph"/>
        <w:numPr>
          <w:ilvl w:val="1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>Separate NR and LTE modem with limited interface capability</w:t>
      </w:r>
    </w:p>
    <w:p w14:paraId="55D6280A" w14:textId="082426FC" w:rsidR="0091149C" w:rsidRPr="0091149C" w:rsidRDefault="0091149C" w:rsidP="00E565DF">
      <w:pPr>
        <w:pStyle w:val="ListParagraph"/>
        <w:numPr>
          <w:ilvl w:val="1"/>
          <w:numId w:val="37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These UEs can only operate in EN-DC when a configuration is received with </w:t>
      </w:r>
      <w:r w:rsidRPr="00AB4A6D">
        <w:rPr>
          <w:lang w:val="en-US" w:eastAsia="ja-JP"/>
        </w:rPr>
        <w:t xml:space="preserve">P_LTE + P_NR </w:t>
      </w:r>
      <w:r>
        <w:rPr>
          <w:lang w:val="en-US" w:eastAsia="ja-JP"/>
        </w:rPr>
        <w:t xml:space="preserve">&lt;= </w:t>
      </w:r>
      <w:proofErr w:type="spellStart"/>
      <w:r>
        <w:rPr>
          <w:lang w:val="en-US" w:eastAsia="ja-JP"/>
        </w:rPr>
        <w:t>P_powerclass</w:t>
      </w:r>
      <w:proofErr w:type="spellEnd"/>
    </w:p>
    <w:p w14:paraId="0DD0EFD6" w14:textId="77777777" w:rsidR="00235541" w:rsidRDefault="00235541" w:rsidP="00E565DF">
      <w:pPr>
        <w:spacing w:after="0"/>
        <w:jc w:val="both"/>
        <w:rPr>
          <w:rFonts w:eastAsia="MS Mincho"/>
          <w:lang w:val="en-US"/>
        </w:rPr>
      </w:pPr>
    </w:p>
    <w:p w14:paraId="41D3B008" w14:textId="59C64C5B" w:rsidR="003D23CF" w:rsidRDefault="0091149C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important that both UE types are continued to be supported by the specification. </w:t>
      </w:r>
    </w:p>
    <w:p w14:paraId="276C2D5B" w14:textId="3B92D8BB" w:rsidR="0091149C" w:rsidRDefault="0091149C" w:rsidP="00E565DF">
      <w:pPr>
        <w:spacing w:after="0"/>
        <w:jc w:val="both"/>
        <w:rPr>
          <w:rFonts w:eastAsia="MS Mincho"/>
          <w:lang w:val="en-US"/>
        </w:rPr>
      </w:pPr>
    </w:p>
    <w:p w14:paraId="7677C9BB" w14:textId="0AF7DB70" w:rsidR="0091149C" w:rsidRDefault="0091149C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At RAN1 #91 a further agreement was made</w:t>
      </w:r>
      <w:r w:rsidR="004D2924">
        <w:rPr>
          <w:rFonts w:eastAsia="MS Mincho"/>
          <w:lang w:val="en-US"/>
        </w:rPr>
        <w:t xml:space="preserve"> [1][2]</w:t>
      </w:r>
      <w:r>
        <w:rPr>
          <w:rFonts w:eastAsia="MS Mincho"/>
          <w:lang w:val="en-US"/>
        </w:rPr>
        <w:t xml:space="preserve"> that applies only to UE Type 2</w:t>
      </w:r>
    </w:p>
    <w:p w14:paraId="4002AD1D" w14:textId="5A26F3A9" w:rsidR="0091149C" w:rsidRDefault="0091149C" w:rsidP="00E565DF">
      <w:pPr>
        <w:spacing w:after="0"/>
        <w:jc w:val="both"/>
        <w:rPr>
          <w:rFonts w:eastAsia="MS Mincho"/>
          <w:lang w:val="en-US"/>
        </w:rPr>
      </w:pPr>
    </w:p>
    <w:p w14:paraId="43C98B69" w14:textId="77777777" w:rsidR="004D2924" w:rsidRPr="004D2924" w:rsidRDefault="004D2924" w:rsidP="00E565DF">
      <w:pPr>
        <w:pStyle w:val="text"/>
        <w:rPr>
          <w:rFonts w:ascii="Times New Roman" w:hAnsi="Times New Roman"/>
          <w:b/>
          <w:sz w:val="20"/>
        </w:rPr>
      </w:pPr>
      <w:r w:rsidRPr="004D2924">
        <w:rPr>
          <w:rFonts w:ascii="Times New Roman" w:hAnsi="Times New Roman"/>
          <w:b/>
          <w:sz w:val="20"/>
          <w:highlight w:val="green"/>
        </w:rPr>
        <w:t>Agreement:</w:t>
      </w:r>
    </w:p>
    <w:p w14:paraId="25F618CF" w14:textId="77777777" w:rsidR="004D2924" w:rsidRPr="004D2924" w:rsidRDefault="004D2924" w:rsidP="00E565DF">
      <w:pPr>
        <w:pStyle w:val="text"/>
        <w:rPr>
          <w:rFonts w:ascii="Times New Roman" w:hAnsi="Times New Roman"/>
          <w:sz w:val="20"/>
        </w:rPr>
      </w:pPr>
      <w:r w:rsidRPr="004D2924">
        <w:rPr>
          <w:rFonts w:ascii="Times New Roman" w:hAnsi="Times New Roman"/>
          <w:sz w:val="20"/>
        </w:rPr>
        <w:t>For LTE/NR NSA operation,</w:t>
      </w:r>
    </w:p>
    <w:p w14:paraId="6D22729F" w14:textId="77777777" w:rsidR="004D2924" w:rsidRPr="004D2924" w:rsidRDefault="004D2924" w:rsidP="00E565DF">
      <w:pPr>
        <w:pStyle w:val="bullet1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 xml:space="preserve">If this UE supports dual UL operation </w:t>
      </w:r>
      <w:proofErr w:type="gramStart"/>
      <w:r w:rsidRPr="004D2924">
        <w:rPr>
          <w:rFonts w:ascii="Times New Roman" w:hAnsi="Times New Roman"/>
          <w:sz w:val="20"/>
          <w:lang w:val="en-US"/>
        </w:rPr>
        <w:t>and also</w:t>
      </w:r>
      <w:proofErr w:type="gramEnd"/>
      <w:r w:rsidRPr="004D2924">
        <w:rPr>
          <w:rFonts w:ascii="Times New Roman" w:hAnsi="Times New Roman"/>
          <w:sz w:val="20"/>
          <w:lang w:val="en-US"/>
        </w:rPr>
        <w:t xml:space="preserve"> supports single UL operation with Case 1 HARQ timing, RRC signaling can configure a UE to operate in one of the following modes:</w:t>
      </w:r>
    </w:p>
    <w:p w14:paraId="5D942B28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>Dual UL operation</w:t>
      </w:r>
    </w:p>
    <w:p w14:paraId="18487EDE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>Single UL operation with Case 1 HARQ timing</w:t>
      </w:r>
    </w:p>
    <w:p w14:paraId="3037BC41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>Single UL operation with Case 2 HARQ timing</w:t>
      </w:r>
    </w:p>
    <w:p w14:paraId="653DC687" w14:textId="77777777" w:rsidR="004D2924" w:rsidRPr="004D2924" w:rsidRDefault="004D2924" w:rsidP="00E565DF">
      <w:pPr>
        <w:pStyle w:val="bullet1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 xml:space="preserve">For UE supporting single UL operation and with Case 1 HARQ timing </w:t>
      </w:r>
      <w:r w:rsidRPr="004D2924">
        <w:rPr>
          <w:rFonts w:ascii="Times New Roman" w:hAnsi="Times New Roman"/>
          <w:sz w:val="20"/>
          <w:highlight w:val="yellow"/>
          <w:lang w:val="en-US"/>
        </w:rPr>
        <w:t xml:space="preserve">if UE does not support </w:t>
      </w:r>
      <w:r w:rsidRPr="004D2924">
        <w:rPr>
          <w:rFonts w:ascii="Times New Roman" w:hAnsi="Times New Roman"/>
          <w:i/>
          <w:sz w:val="20"/>
          <w:highlight w:val="yellow"/>
          <w:lang w:val="en-US"/>
        </w:rPr>
        <w:t>power scaling for LTE-NR DC</w:t>
      </w:r>
      <w:r w:rsidRPr="004D2924">
        <w:rPr>
          <w:rFonts w:ascii="Times New Roman" w:hAnsi="Times New Roman"/>
          <w:sz w:val="20"/>
          <w:highlight w:val="yellow"/>
          <w:lang w:val="en-US"/>
        </w:rPr>
        <w:t xml:space="preserve"> with P_LTE+P_NR&gt;</w:t>
      </w:r>
      <w:proofErr w:type="spellStart"/>
      <w:r w:rsidRPr="004D2924">
        <w:rPr>
          <w:rFonts w:ascii="Times New Roman" w:hAnsi="Times New Roman"/>
          <w:sz w:val="20"/>
          <w:highlight w:val="yellow"/>
          <w:lang w:val="en-US"/>
        </w:rPr>
        <w:t>Pcmax</w:t>
      </w:r>
      <w:proofErr w:type="spellEnd"/>
      <w:r w:rsidRPr="004D2924">
        <w:rPr>
          <w:rFonts w:ascii="Times New Roman" w:hAnsi="Times New Roman"/>
          <w:sz w:val="20"/>
          <w:lang w:val="en-US"/>
        </w:rPr>
        <w:t>, UE shall support the following two operations:</w:t>
      </w:r>
    </w:p>
    <w:p w14:paraId="0DF61CBC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  <w:lang w:val="en-US"/>
        </w:rPr>
      </w:pPr>
      <w:r w:rsidRPr="004D2924">
        <w:rPr>
          <w:rFonts w:ascii="Times New Roman" w:hAnsi="Times New Roman"/>
          <w:sz w:val="20"/>
          <w:lang w:val="en-US"/>
        </w:rPr>
        <w:t xml:space="preserve">Operation A with Case1: P_LTE + P_NR &gt; </w:t>
      </w:r>
      <w:proofErr w:type="spellStart"/>
      <w:r w:rsidRPr="004D2924">
        <w:rPr>
          <w:rFonts w:ascii="Times New Roman" w:hAnsi="Times New Roman"/>
          <w:sz w:val="20"/>
          <w:lang w:val="en-US"/>
        </w:rPr>
        <w:t>Pcmax</w:t>
      </w:r>
      <w:proofErr w:type="spellEnd"/>
      <w:r w:rsidRPr="004D2924">
        <w:rPr>
          <w:rFonts w:ascii="Times New Roman" w:hAnsi="Times New Roman"/>
          <w:sz w:val="20"/>
          <w:lang w:val="en-US"/>
        </w:rPr>
        <w:t>, in which case the UE assumes that no NR UL transmission takes place in an UL subframe/slot that is designated as LTE UL in the Case 1 reference TDD configuration</w:t>
      </w:r>
    </w:p>
    <w:p w14:paraId="35B91D28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</w:rPr>
      </w:pPr>
      <w:r w:rsidRPr="004D2924">
        <w:rPr>
          <w:rFonts w:ascii="Times New Roman" w:hAnsi="Times New Roman"/>
          <w:sz w:val="20"/>
          <w:lang w:val="en-US"/>
        </w:rPr>
        <w:t xml:space="preserve">Operation B with Case1: P_LTE + P_NR &lt;= </w:t>
      </w:r>
      <w:proofErr w:type="spellStart"/>
      <w:r w:rsidRPr="004D2924">
        <w:rPr>
          <w:rFonts w:ascii="Times New Roman" w:hAnsi="Times New Roman"/>
          <w:sz w:val="20"/>
          <w:lang w:val="en-US"/>
        </w:rPr>
        <w:t>Pcmax</w:t>
      </w:r>
      <w:proofErr w:type="spellEnd"/>
      <w:r w:rsidRPr="004D2924">
        <w:rPr>
          <w:rFonts w:ascii="Times New Roman" w:hAnsi="Times New Roman"/>
          <w:sz w:val="20"/>
          <w:lang w:val="en-US"/>
        </w:rPr>
        <w:t xml:space="preserve">, in which case NR UL can be scheduled in any UL subframe/slot (while </w:t>
      </w:r>
      <w:r w:rsidRPr="004D2924">
        <w:rPr>
          <w:rFonts w:ascii="Times New Roman" w:hAnsi="Times New Roman"/>
          <w:sz w:val="20"/>
        </w:rPr>
        <w:t xml:space="preserve">the UE behaviour in case of being simultaneously scheduled on LTE and NR uplinks is not specified) </w:t>
      </w:r>
    </w:p>
    <w:p w14:paraId="19A05E9A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</w:rPr>
      </w:pPr>
      <w:r w:rsidRPr="004D2924">
        <w:rPr>
          <w:rFonts w:ascii="Times New Roman" w:hAnsi="Times New Roman"/>
          <w:sz w:val="20"/>
        </w:rPr>
        <w:t xml:space="preserve">The </w:t>
      </w:r>
      <w:r w:rsidRPr="004D2924">
        <w:rPr>
          <w:rFonts w:ascii="Times New Roman" w:hAnsi="Times New Roman"/>
          <w:sz w:val="20"/>
          <w:lang w:val="en-US"/>
        </w:rPr>
        <w:t>operation</w:t>
      </w:r>
      <w:r w:rsidRPr="004D2924">
        <w:rPr>
          <w:rFonts w:ascii="Times New Roman" w:hAnsi="Times New Roman"/>
          <w:sz w:val="20"/>
        </w:rPr>
        <w:t xml:space="preserve"> A vs </w:t>
      </w:r>
      <w:r w:rsidRPr="004D2924">
        <w:rPr>
          <w:rFonts w:ascii="Times New Roman" w:hAnsi="Times New Roman"/>
          <w:sz w:val="20"/>
          <w:lang w:val="en-US"/>
        </w:rPr>
        <w:t>operation</w:t>
      </w:r>
      <w:r w:rsidRPr="004D2924">
        <w:rPr>
          <w:rFonts w:ascii="Times New Roman" w:hAnsi="Times New Roman"/>
          <w:sz w:val="20"/>
        </w:rPr>
        <w:t xml:space="preserve"> B configuration is implicitly determined based on </w:t>
      </w:r>
      <w:r w:rsidRPr="004D2924">
        <w:rPr>
          <w:rFonts w:ascii="Times New Roman" w:hAnsi="Times New Roman"/>
          <w:sz w:val="20"/>
          <w:lang w:val="en-US"/>
        </w:rPr>
        <w:t>P_LTE and P_NR</w:t>
      </w:r>
    </w:p>
    <w:p w14:paraId="3859EFF8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</w:rPr>
      </w:pPr>
      <w:r w:rsidRPr="004D2924">
        <w:rPr>
          <w:rFonts w:ascii="Times New Roman" w:hAnsi="Times New Roman"/>
          <w:sz w:val="20"/>
        </w:rPr>
        <w:t xml:space="preserve">Note that the above agreement does not affect the </w:t>
      </w:r>
      <w:proofErr w:type="gramStart"/>
      <w:r w:rsidRPr="004D2924">
        <w:rPr>
          <w:rFonts w:ascii="Times New Roman" w:hAnsi="Times New Roman"/>
          <w:sz w:val="20"/>
        </w:rPr>
        <w:t>current status</w:t>
      </w:r>
      <w:proofErr w:type="gramEnd"/>
      <w:r w:rsidRPr="004D2924">
        <w:rPr>
          <w:rFonts w:ascii="Times New Roman" w:hAnsi="Times New Roman"/>
          <w:sz w:val="20"/>
        </w:rPr>
        <w:t xml:space="preserve"> on the optional/mandatory support of </w:t>
      </w:r>
      <w:r w:rsidRPr="004D2924">
        <w:rPr>
          <w:rFonts w:ascii="Times New Roman" w:hAnsi="Times New Roman"/>
          <w:i/>
          <w:sz w:val="20"/>
          <w:lang w:val="en-US"/>
        </w:rPr>
        <w:t>power scaling for LTE-NR DC</w:t>
      </w:r>
      <w:r w:rsidRPr="004D2924">
        <w:rPr>
          <w:rFonts w:ascii="Times New Roman" w:hAnsi="Times New Roman"/>
          <w:sz w:val="20"/>
        </w:rPr>
        <w:t xml:space="preserve"> with </w:t>
      </w:r>
      <w:r w:rsidRPr="004D2924">
        <w:rPr>
          <w:rFonts w:ascii="Times New Roman" w:hAnsi="Times New Roman"/>
          <w:sz w:val="20"/>
          <w:lang w:val="en-US"/>
        </w:rPr>
        <w:t xml:space="preserve">P_LTE + P_NR &gt; </w:t>
      </w:r>
      <w:proofErr w:type="spellStart"/>
      <w:r w:rsidRPr="004D2924">
        <w:rPr>
          <w:rFonts w:ascii="Times New Roman" w:hAnsi="Times New Roman"/>
          <w:sz w:val="20"/>
          <w:lang w:val="en-US"/>
        </w:rPr>
        <w:t>Pcmax</w:t>
      </w:r>
      <w:proofErr w:type="spellEnd"/>
    </w:p>
    <w:p w14:paraId="6D57D582" w14:textId="77777777" w:rsidR="004D2924" w:rsidRPr="004D2924" w:rsidRDefault="004D2924" w:rsidP="00E565DF">
      <w:pPr>
        <w:pStyle w:val="bullet2"/>
        <w:jc w:val="both"/>
        <w:rPr>
          <w:rFonts w:ascii="Times New Roman" w:hAnsi="Times New Roman"/>
          <w:sz w:val="20"/>
        </w:rPr>
      </w:pPr>
      <w:r w:rsidRPr="004D2924">
        <w:rPr>
          <w:rFonts w:ascii="Times New Roman" w:hAnsi="Times New Roman"/>
          <w:sz w:val="20"/>
        </w:rPr>
        <w:t xml:space="preserve">Note that the above agreement can become obsolete if </w:t>
      </w:r>
      <w:r w:rsidRPr="004D2924">
        <w:rPr>
          <w:rFonts w:ascii="Times New Roman" w:hAnsi="Times New Roman"/>
          <w:i/>
          <w:sz w:val="20"/>
          <w:lang w:val="en-US"/>
        </w:rPr>
        <w:t>power scaling for LTE-NR DC</w:t>
      </w:r>
      <w:r w:rsidRPr="004D2924">
        <w:rPr>
          <w:rFonts w:ascii="Times New Roman" w:hAnsi="Times New Roman"/>
          <w:sz w:val="20"/>
        </w:rPr>
        <w:t xml:space="preserve"> is mandated to all UEs</w:t>
      </w:r>
    </w:p>
    <w:p w14:paraId="235E83D2" w14:textId="77777777" w:rsidR="0091149C" w:rsidRDefault="0091149C" w:rsidP="00E565DF">
      <w:pPr>
        <w:spacing w:after="0"/>
        <w:jc w:val="both"/>
        <w:rPr>
          <w:rFonts w:eastAsia="MS Mincho"/>
          <w:lang w:val="en-US"/>
        </w:rPr>
      </w:pPr>
    </w:p>
    <w:p w14:paraId="70BACD3F" w14:textId="77777777" w:rsidR="004D2924" w:rsidRDefault="004D2924" w:rsidP="00E565DF">
      <w:pPr>
        <w:spacing w:after="0"/>
        <w:jc w:val="both"/>
        <w:rPr>
          <w:rFonts w:eastAsia="MS Mincho"/>
          <w:lang w:val="en-US"/>
        </w:rPr>
      </w:pPr>
    </w:p>
    <w:p w14:paraId="7FCCBA13" w14:textId="5059E008" w:rsidR="0091149C" w:rsidRDefault="004D2924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When the NR UE capabilities are further discussed, the</w:t>
      </w:r>
      <w:r w:rsidR="00323B98">
        <w:rPr>
          <w:rFonts w:eastAsia="MS Mincho"/>
          <w:lang w:val="en-US"/>
        </w:rPr>
        <w:t xml:space="preserve"> above</w:t>
      </w:r>
      <w:r>
        <w:rPr>
          <w:rFonts w:eastAsia="MS Mincho"/>
          <w:lang w:val="en-US"/>
        </w:rPr>
        <w:t xml:space="preserve"> RAN1 decision</w:t>
      </w:r>
      <w:r w:rsidR="00323B98">
        <w:rPr>
          <w:rFonts w:eastAsia="MS Mincho"/>
          <w:lang w:val="en-US"/>
        </w:rPr>
        <w:t xml:space="preserve"> should be endorsed</w:t>
      </w:r>
      <w:r w:rsidR="00E565DF">
        <w:rPr>
          <w:rFonts w:eastAsia="MS Mincho"/>
          <w:lang w:val="en-US"/>
        </w:rPr>
        <w:t xml:space="preserve">. </w:t>
      </w:r>
      <w:proofErr w:type="gramStart"/>
      <w:r w:rsidR="00E565DF">
        <w:rPr>
          <w:rFonts w:eastAsia="MS Mincho"/>
          <w:lang w:val="en-US"/>
        </w:rPr>
        <w:t>I</w:t>
      </w:r>
      <w:r w:rsidR="00323B98">
        <w:rPr>
          <w:rFonts w:eastAsia="MS Mincho"/>
          <w:lang w:val="en-US"/>
        </w:rPr>
        <w:t>n particular</w:t>
      </w:r>
      <w:r w:rsidR="00E565DF">
        <w:rPr>
          <w:rFonts w:eastAsia="MS Mincho"/>
          <w:lang w:val="en-US"/>
        </w:rPr>
        <w:t>, UE</w:t>
      </w:r>
      <w:proofErr w:type="gramEnd"/>
      <w:r w:rsidR="00E565DF">
        <w:rPr>
          <w:rFonts w:eastAsia="MS Mincho"/>
          <w:lang w:val="en-US"/>
        </w:rPr>
        <w:t xml:space="preserve"> Type 2 not capable of dynamic LTE-NR power sharing needs to be supported by the specification. </w:t>
      </w:r>
    </w:p>
    <w:p w14:paraId="22F483FA" w14:textId="1E473C43" w:rsidR="00E565DF" w:rsidRDefault="00E565DF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can be further discussed whether for these UEs the support of Case 1 HARQ timing should be optional or mandatory. </w:t>
      </w:r>
    </w:p>
    <w:p w14:paraId="7630ABE6" w14:textId="1DE08ECA" w:rsidR="00E565DF" w:rsidRDefault="00E565DF" w:rsidP="00E565DF">
      <w:pPr>
        <w:spacing w:after="0"/>
        <w:jc w:val="both"/>
        <w:rPr>
          <w:rFonts w:eastAsia="MS Mincho"/>
          <w:lang w:val="en-US"/>
        </w:rPr>
      </w:pPr>
    </w:p>
    <w:p w14:paraId="4AD2A7BC" w14:textId="77777777" w:rsidR="00E565DF" w:rsidRPr="003D23CF" w:rsidRDefault="00E565DF" w:rsidP="00E565DF">
      <w:pPr>
        <w:spacing w:after="0"/>
        <w:jc w:val="both"/>
        <w:rPr>
          <w:rFonts w:eastAsia="MS Mincho"/>
          <w:lang w:val="en-US"/>
        </w:rPr>
      </w:pPr>
    </w:p>
    <w:p w14:paraId="388B12D9" w14:textId="1690E0AA" w:rsidR="00513BAC" w:rsidRDefault="00E565DF" w:rsidP="00E565DF">
      <w:pPr>
        <w:pStyle w:val="Heading1"/>
        <w:jc w:val="both"/>
      </w:pPr>
      <w:r>
        <w:t>Conclusion</w:t>
      </w:r>
    </w:p>
    <w:p w14:paraId="52DBDAAC" w14:textId="7D684A50" w:rsidR="00E565DF" w:rsidRPr="00E565DF" w:rsidRDefault="00E565DF" w:rsidP="00E565DF">
      <w:pPr>
        <w:spacing w:after="0"/>
        <w:jc w:val="both"/>
        <w:rPr>
          <w:rFonts w:eastAsia="MS Mincho"/>
          <w:b/>
          <w:lang w:val="en-US"/>
        </w:rPr>
      </w:pPr>
      <w:r w:rsidRPr="00E565DF">
        <w:rPr>
          <w:b/>
          <w:u w:val="single"/>
        </w:rPr>
        <w:t>Proposal:</w:t>
      </w:r>
      <w:r w:rsidRPr="00E565DF">
        <w:rPr>
          <w:b/>
        </w:rPr>
        <w:t xml:space="preserve">  </w:t>
      </w:r>
      <w:r w:rsidRPr="00E565DF">
        <w:rPr>
          <w:rFonts w:eastAsia="MS Mincho"/>
          <w:b/>
          <w:lang w:val="en-US"/>
        </w:rPr>
        <w:t>The</w:t>
      </w:r>
      <w:r w:rsidRPr="00E565DF">
        <w:rPr>
          <w:rFonts w:eastAsia="MS Mincho"/>
          <w:b/>
          <w:lang w:val="en-US"/>
        </w:rPr>
        <w:t xml:space="preserve"> RAN1 decision </w:t>
      </w:r>
      <w:r w:rsidRPr="00E565DF">
        <w:rPr>
          <w:rFonts w:eastAsia="MS Mincho"/>
          <w:b/>
          <w:lang w:val="en-US"/>
        </w:rPr>
        <w:t>on the</w:t>
      </w:r>
      <w:r>
        <w:rPr>
          <w:rFonts w:eastAsia="MS Mincho"/>
          <w:b/>
          <w:lang w:val="en-US"/>
        </w:rPr>
        <w:t xml:space="preserve"> specification</w:t>
      </w:r>
      <w:r w:rsidRPr="00E565DF">
        <w:rPr>
          <w:rFonts w:eastAsia="MS Mincho"/>
          <w:b/>
          <w:lang w:val="en-US"/>
        </w:rPr>
        <w:t xml:space="preserve"> support of</w:t>
      </w:r>
      <w:r w:rsidRPr="00E565DF">
        <w:rPr>
          <w:rFonts w:eastAsia="MS Mincho"/>
          <w:b/>
          <w:lang w:val="en-US"/>
        </w:rPr>
        <w:t xml:space="preserve"> UE</w:t>
      </w:r>
      <w:r>
        <w:rPr>
          <w:rFonts w:eastAsia="MS Mincho"/>
          <w:b/>
          <w:lang w:val="en-US"/>
        </w:rPr>
        <w:t>s</w:t>
      </w:r>
      <w:r w:rsidRPr="00E565DF">
        <w:rPr>
          <w:rFonts w:eastAsia="MS Mincho"/>
          <w:b/>
          <w:lang w:val="en-US"/>
        </w:rPr>
        <w:t xml:space="preserve"> not capable of dynamic LTE-NR power sharing </w:t>
      </w:r>
      <w:r w:rsidR="00521C74">
        <w:rPr>
          <w:rFonts w:eastAsia="MS Mincho"/>
          <w:b/>
          <w:lang w:val="en-US"/>
        </w:rPr>
        <w:t>should</w:t>
      </w:r>
      <w:r w:rsidRPr="00E565DF">
        <w:rPr>
          <w:rFonts w:eastAsia="MS Mincho"/>
          <w:b/>
          <w:lang w:val="en-US"/>
        </w:rPr>
        <w:t xml:space="preserve"> be endorsed</w:t>
      </w:r>
      <w:r w:rsidRPr="00E565DF">
        <w:rPr>
          <w:rFonts w:eastAsia="MS Mincho"/>
          <w:b/>
          <w:lang w:val="en-US"/>
        </w:rPr>
        <w:t>.</w:t>
      </w:r>
      <w:r w:rsidRPr="00E565DF">
        <w:rPr>
          <w:rFonts w:eastAsia="MS Mincho"/>
          <w:b/>
          <w:lang w:val="en-US"/>
        </w:rPr>
        <w:t xml:space="preserve">  </w:t>
      </w:r>
      <w:r w:rsidRPr="00E565DF">
        <w:rPr>
          <w:rFonts w:eastAsia="MS Mincho"/>
          <w:b/>
          <w:lang w:val="en-US"/>
        </w:rPr>
        <w:t xml:space="preserve">It can be further discussed whether for these UEs the support of Case 1 HARQ timing should be optional or mandatory. </w:t>
      </w:r>
    </w:p>
    <w:p w14:paraId="4F079B06" w14:textId="5DF3E6B2" w:rsidR="00E565DF" w:rsidRPr="00E565DF" w:rsidRDefault="00E565DF" w:rsidP="00E565DF">
      <w:pPr>
        <w:jc w:val="both"/>
      </w:pPr>
    </w:p>
    <w:p w14:paraId="6B3383E3" w14:textId="5C88F5BF" w:rsidR="00513BAC" w:rsidRDefault="00513BAC" w:rsidP="00E565DF">
      <w:pPr>
        <w:spacing w:after="0"/>
        <w:jc w:val="both"/>
        <w:rPr>
          <w:rFonts w:eastAsia="MS Mincho"/>
          <w:lang w:val="en-US"/>
        </w:rPr>
      </w:pPr>
    </w:p>
    <w:p w14:paraId="0D487608" w14:textId="3B36B6C6" w:rsidR="00513BAC" w:rsidRDefault="00513BAC" w:rsidP="00E565DF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34A98D34" w14:textId="358261D9" w:rsidR="00323B98" w:rsidRDefault="00513BAC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[1]</w:t>
      </w:r>
      <w:r w:rsidR="00323B98">
        <w:rPr>
          <w:rFonts w:eastAsia="MS Mincho"/>
          <w:lang w:val="en-US"/>
        </w:rPr>
        <w:t xml:space="preserve"> </w:t>
      </w:r>
      <w:r w:rsidR="00323B98" w:rsidRPr="00323B98">
        <w:rPr>
          <w:rFonts w:eastAsia="MS Mincho"/>
          <w:lang w:val="en-US"/>
        </w:rPr>
        <w:t>R1-1721555</w:t>
      </w:r>
      <w:r w:rsidR="00323B98">
        <w:rPr>
          <w:rFonts w:eastAsia="MS Mincho"/>
          <w:lang w:val="en-US"/>
        </w:rPr>
        <w:t>, “</w:t>
      </w:r>
      <w:r w:rsidR="00323B98" w:rsidRPr="00323B98">
        <w:rPr>
          <w:rFonts w:eastAsia="MS Mincho"/>
          <w:lang w:val="en-US"/>
        </w:rPr>
        <w:t>On UL power sharing for coverage enhancement</w:t>
      </w:r>
      <w:r w:rsidR="00323B98">
        <w:rPr>
          <w:rFonts w:eastAsia="MS Mincho"/>
          <w:lang w:val="en-US"/>
        </w:rPr>
        <w:t xml:space="preserve">”, </w:t>
      </w:r>
      <w:r w:rsidR="00323B98" w:rsidRPr="00323B98">
        <w:rPr>
          <w:rFonts w:eastAsia="MS Mincho"/>
          <w:lang w:val="en-US"/>
        </w:rPr>
        <w:t xml:space="preserve">Orange, NTT Docomo, AT&amp;T, China Telecom, China Unicom, DT, Verizon, Bouygues Telecom, Huawei, ZTE, Ericsson, CATT, OPPO, Vivo, Xiaomi, Apple, </w:t>
      </w:r>
      <w:proofErr w:type="spellStart"/>
      <w:r w:rsidR="00323B98" w:rsidRPr="00323B98">
        <w:rPr>
          <w:rFonts w:eastAsia="MS Mincho"/>
          <w:lang w:val="en-US"/>
        </w:rPr>
        <w:t>Hisilicon</w:t>
      </w:r>
      <w:proofErr w:type="spellEnd"/>
      <w:r w:rsidR="004D2924">
        <w:rPr>
          <w:rFonts w:eastAsia="MS Mincho"/>
          <w:lang w:val="en-US"/>
        </w:rPr>
        <w:t xml:space="preserve"> </w:t>
      </w:r>
    </w:p>
    <w:p w14:paraId="049A6D2C" w14:textId="1EF7BD17" w:rsidR="00513BAC" w:rsidRPr="00441C68" w:rsidRDefault="00323B98" w:rsidP="00E565DF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[2] </w:t>
      </w:r>
      <w:r w:rsidR="004D2924" w:rsidRPr="004D2924">
        <w:rPr>
          <w:rFonts w:eastAsia="MS Mincho"/>
          <w:lang w:val="en-US"/>
        </w:rPr>
        <w:t xml:space="preserve">R1-1721469 </w:t>
      </w:r>
      <w:r w:rsidR="004D2924">
        <w:rPr>
          <w:rFonts w:eastAsia="MS Mincho"/>
          <w:lang w:val="en-US"/>
        </w:rPr>
        <w:t>“</w:t>
      </w:r>
      <w:r w:rsidR="004D2924" w:rsidRPr="004D2924">
        <w:rPr>
          <w:rFonts w:eastAsia="MS Mincho"/>
          <w:lang w:val="en-US"/>
        </w:rPr>
        <w:t>Power split in TDM cases</w:t>
      </w:r>
      <w:r w:rsidR="004D2924">
        <w:rPr>
          <w:rFonts w:eastAsia="MS Mincho"/>
          <w:lang w:val="en-US"/>
        </w:rPr>
        <w:t>”, Qualcomm</w:t>
      </w:r>
    </w:p>
    <w:p w14:paraId="1256C51D" w14:textId="77777777" w:rsidR="00513BAC" w:rsidRPr="00A50AA8" w:rsidRDefault="00513BAC" w:rsidP="001C19DF">
      <w:pPr>
        <w:spacing w:after="0"/>
        <w:rPr>
          <w:sz w:val="22"/>
          <w:szCs w:val="22"/>
        </w:rPr>
      </w:pPr>
      <w:bookmarkStart w:id="2" w:name="_GoBack"/>
      <w:bookmarkEnd w:id="2"/>
    </w:p>
    <w:sectPr w:rsidR="00513BAC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99B0E" w14:textId="77777777" w:rsidR="004B3410" w:rsidRDefault="004B3410">
      <w:r>
        <w:separator/>
      </w:r>
    </w:p>
    <w:p w14:paraId="367E4E3F" w14:textId="77777777" w:rsidR="004B3410" w:rsidRDefault="004B3410"/>
  </w:endnote>
  <w:endnote w:type="continuationSeparator" w:id="0">
    <w:p w14:paraId="7BD0D34F" w14:textId="77777777" w:rsidR="004B3410" w:rsidRDefault="004B3410">
      <w:r>
        <w:continuationSeparator/>
      </w:r>
    </w:p>
    <w:p w14:paraId="154772AA" w14:textId="77777777" w:rsidR="004B3410" w:rsidRDefault="004B3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2CF1706C" w:rsidR="0091149C" w:rsidRDefault="0091149C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006AD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006AD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508E00D" w14:textId="77777777" w:rsidR="0091149C" w:rsidRDefault="00911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9D199" w14:textId="77777777" w:rsidR="004B3410" w:rsidRDefault="004B3410">
      <w:r>
        <w:separator/>
      </w:r>
    </w:p>
    <w:p w14:paraId="574AC1FB" w14:textId="77777777" w:rsidR="004B3410" w:rsidRDefault="004B3410"/>
  </w:footnote>
  <w:footnote w:type="continuationSeparator" w:id="0">
    <w:p w14:paraId="370CCFE2" w14:textId="77777777" w:rsidR="004B3410" w:rsidRDefault="004B3410">
      <w:r>
        <w:continuationSeparator/>
      </w:r>
    </w:p>
    <w:p w14:paraId="018FD66A" w14:textId="77777777" w:rsidR="004B3410" w:rsidRDefault="004B34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91149C" w:rsidRDefault="0091149C"/>
  <w:p w14:paraId="305600EF" w14:textId="77777777" w:rsidR="0091149C" w:rsidRDefault="00911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0E30F4"/>
    <w:multiLevelType w:val="hybridMultilevel"/>
    <w:tmpl w:val="D48C74FA"/>
    <w:lvl w:ilvl="0" w:tplc="74AED8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5"/>
  </w:num>
  <w:num w:numId="3">
    <w:abstractNumId w:val="30"/>
  </w:num>
  <w:num w:numId="4">
    <w:abstractNumId w:val="27"/>
  </w:num>
  <w:num w:numId="5">
    <w:abstractNumId w:val="7"/>
  </w:num>
  <w:num w:numId="6">
    <w:abstractNumId w:val="14"/>
  </w:num>
  <w:num w:numId="7">
    <w:abstractNumId w:val="20"/>
  </w:num>
  <w:num w:numId="8">
    <w:abstractNumId w:val="10"/>
  </w:num>
  <w:num w:numId="9">
    <w:abstractNumId w:val="32"/>
  </w:num>
  <w:num w:numId="10">
    <w:abstractNumId w:val="31"/>
  </w:num>
  <w:num w:numId="11">
    <w:abstractNumId w:val="19"/>
  </w:num>
  <w:num w:numId="12">
    <w:abstractNumId w:val="6"/>
  </w:num>
  <w:num w:numId="13">
    <w:abstractNumId w:val="23"/>
  </w:num>
  <w:num w:numId="14">
    <w:abstractNumId w:val="22"/>
  </w:num>
  <w:num w:numId="15">
    <w:abstractNumId w:val="12"/>
  </w:num>
  <w:num w:numId="16">
    <w:abstractNumId w:val="16"/>
  </w:num>
  <w:num w:numId="17">
    <w:abstractNumId w:val="0"/>
  </w:num>
  <w:num w:numId="18">
    <w:abstractNumId w:val="18"/>
  </w:num>
  <w:num w:numId="19">
    <w:abstractNumId w:val="5"/>
  </w:num>
  <w:num w:numId="20">
    <w:abstractNumId w:val="15"/>
  </w:num>
  <w:num w:numId="21">
    <w:abstractNumId w:val="3"/>
  </w:num>
  <w:num w:numId="22">
    <w:abstractNumId w:val="4"/>
  </w:num>
  <w:num w:numId="23">
    <w:abstractNumId w:val="13"/>
  </w:num>
  <w:num w:numId="24">
    <w:abstractNumId w:val="2"/>
  </w:num>
  <w:num w:numId="25">
    <w:abstractNumId w:val="21"/>
  </w:num>
  <w:num w:numId="26">
    <w:abstractNumId w:val="17"/>
  </w:num>
  <w:num w:numId="27">
    <w:abstractNumId w:val="11"/>
  </w:num>
  <w:num w:numId="28">
    <w:abstractNumId w:val="36"/>
  </w:num>
  <w:num w:numId="29">
    <w:abstractNumId w:val="29"/>
  </w:num>
  <w:num w:numId="30">
    <w:abstractNumId w:val="34"/>
  </w:num>
  <w:num w:numId="31">
    <w:abstractNumId w:val="33"/>
  </w:num>
  <w:num w:numId="32">
    <w:abstractNumId w:val="26"/>
  </w:num>
  <w:num w:numId="33">
    <w:abstractNumId w:val="9"/>
  </w:num>
  <w:num w:numId="34">
    <w:abstractNumId w:val="8"/>
  </w:num>
  <w:num w:numId="35">
    <w:abstractNumId w:val="24"/>
  </w:num>
  <w:num w:numId="36">
    <w:abstractNumId w:val="1"/>
  </w:num>
  <w:num w:numId="37">
    <w:abstractNumId w:val="25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6ADF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541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3B98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410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2924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128C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1C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132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49C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8A2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50A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0F0F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5DF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6859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  <w:style w:type="paragraph" w:customStyle="1" w:styleId="text">
    <w:name w:val="text"/>
    <w:basedOn w:val="Normal"/>
    <w:link w:val="textChar"/>
    <w:qFormat/>
    <w:rsid w:val="004D2924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ascii="Calibri" w:hAnsi="Calibri"/>
      <w:color w:val="auto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4D2924"/>
    <w:pPr>
      <w:widowControl/>
      <w:numPr>
        <w:numId w:val="3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4D2924"/>
    <w:rPr>
      <w:rFonts w:ascii="Calibri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D2924"/>
    <w:pPr>
      <w:widowControl/>
      <w:numPr>
        <w:ilvl w:val="1"/>
        <w:numId w:val="3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4D292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D2924"/>
    <w:pPr>
      <w:widowControl/>
      <w:numPr>
        <w:ilvl w:val="2"/>
        <w:numId w:val="3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D292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4D2924"/>
    <w:pPr>
      <w:widowControl/>
      <w:numPr>
        <w:ilvl w:val="3"/>
        <w:numId w:val="3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251ADA5-3726-41AC-AA9B-2781ED6D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4368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28</cp:revision>
  <cp:lastPrinted>2003-09-26T18:29:00Z</cp:lastPrinted>
  <dcterms:created xsi:type="dcterms:W3CDTF">2017-11-28T23:11:00Z</dcterms:created>
  <dcterms:modified xsi:type="dcterms:W3CDTF">2017-12-11T09:21:00Z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